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4" w:space="0" w:color="auto"/>
        </w:tblBorders>
        <w:tblLook w:val="04A0" w:firstRow="1" w:lastRow="0" w:firstColumn="1" w:lastColumn="0" w:noHBand="0" w:noVBand="1"/>
      </w:tblPr>
      <w:tblGrid>
        <w:gridCol w:w="1689"/>
        <w:gridCol w:w="3955"/>
        <w:gridCol w:w="3886"/>
      </w:tblGrid>
      <w:tr w:rsidR="0008315C" w:rsidTr="00C21AA1">
        <w:tc>
          <w:tcPr>
            <w:tcW w:w="1700" w:type="dxa"/>
            <w:tcBorders>
              <w:top w:val="nil"/>
              <w:left w:val="nil"/>
              <w:bottom w:val="single" w:sz="4" w:space="0" w:color="auto"/>
              <w:right w:val="nil"/>
            </w:tcBorders>
            <w:hideMark/>
          </w:tcPr>
          <w:p w:rsidR="0008315C" w:rsidRDefault="0008315C" w:rsidP="00C21AA1">
            <w:pPr>
              <w:spacing w:line="276" w:lineRule="auto"/>
              <w:rPr>
                <w:iCs/>
                <w:lang w:eastAsia="en-US"/>
              </w:rPr>
            </w:pPr>
            <w:r>
              <w:rPr>
                <w:noProof/>
              </w:rPr>
              <w:drawing>
                <wp:inline distT="0" distB="0" distL="0" distR="0" wp14:anchorId="2DC1D410" wp14:editId="7FF12E71">
                  <wp:extent cx="895350" cy="45720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457200"/>
                          </a:xfrm>
                          <a:prstGeom prst="rect">
                            <a:avLst/>
                          </a:prstGeom>
                          <a:noFill/>
                          <a:ln>
                            <a:noFill/>
                          </a:ln>
                        </pic:spPr>
                      </pic:pic>
                    </a:graphicData>
                  </a:graphic>
                </wp:inline>
              </w:drawing>
            </w:r>
          </w:p>
        </w:tc>
        <w:tc>
          <w:tcPr>
            <w:tcW w:w="4628" w:type="dxa"/>
            <w:tcBorders>
              <w:top w:val="nil"/>
              <w:left w:val="nil"/>
              <w:bottom w:val="single" w:sz="4" w:space="0" w:color="auto"/>
              <w:right w:val="nil"/>
            </w:tcBorders>
            <w:hideMark/>
          </w:tcPr>
          <w:p w:rsidR="0008315C" w:rsidRDefault="0008315C" w:rsidP="00C21AA1">
            <w:pPr>
              <w:spacing w:line="276" w:lineRule="auto"/>
              <w:rPr>
                <w:rFonts w:ascii="Calibri" w:eastAsia="Calibri" w:hAnsi="Calibri"/>
                <w:sz w:val="22"/>
                <w:szCs w:val="22"/>
                <w:lang w:eastAsia="en-US"/>
              </w:rPr>
            </w:pPr>
          </w:p>
        </w:tc>
        <w:tc>
          <w:tcPr>
            <w:tcW w:w="3418" w:type="dxa"/>
            <w:tcBorders>
              <w:top w:val="nil"/>
              <w:left w:val="nil"/>
              <w:bottom w:val="single" w:sz="4" w:space="0" w:color="auto"/>
              <w:right w:val="nil"/>
            </w:tcBorders>
            <w:hideMark/>
          </w:tcPr>
          <w:p w:rsidR="0008315C" w:rsidRDefault="0008315C" w:rsidP="00C21AA1">
            <w:pPr>
              <w:spacing w:line="276" w:lineRule="auto"/>
              <w:ind w:left="2350"/>
              <w:rPr>
                <w:iCs/>
                <w:lang w:eastAsia="en-US"/>
              </w:rPr>
            </w:pPr>
            <w:r>
              <w:rPr>
                <w:noProof/>
              </w:rPr>
              <w:drawing>
                <wp:inline distT="0" distB="0" distL="0" distR="0" wp14:anchorId="628FB3F0" wp14:editId="3DF6E703">
                  <wp:extent cx="836498" cy="611893"/>
                  <wp:effectExtent l="0" t="0" r="1905" b="0"/>
                  <wp:docPr id="2" name="Immagine 2" descr="C:\Users\Utente\Desktop\LOGO CR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CRIS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614" cy="622219"/>
                          </a:xfrm>
                          <a:prstGeom prst="rect">
                            <a:avLst/>
                          </a:prstGeom>
                          <a:noFill/>
                          <a:ln>
                            <a:noFill/>
                          </a:ln>
                        </pic:spPr>
                      </pic:pic>
                    </a:graphicData>
                  </a:graphic>
                </wp:inline>
              </w:drawing>
            </w:r>
          </w:p>
          <w:p w:rsidR="0008315C" w:rsidRDefault="0008315C" w:rsidP="00C21AA1">
            <w:pPr>
              <w:spacing w:line="276" w:lineRule="auto"/>
              <w:rPr>
                <w:iCs/>
                <w:lang w:eastAsia="en-US"/>
              </w:rPr>
            </w:pPr>
          </w:p>
        </w:tc>
      </w:tr>
    </w:tbl>
    <w:p w:rsidR="0008315C" w:rsidRDefault="0008315C" w:rsidP="0008315C"/>
    <w:p w:rsidR="0008315C" w:rsidRDefault="0008315C" w:rsidP="0008315C"/>
    <w:p w:rsidR="0008315C" w:rsidRDefault="0008315C" w:rsidP="0008315C"/>
    <w:p w:rsidR="0008315C" w:rsidRPr="00E61675" w:rsidRDefault="0008315C" w:rsidP="0008315C">
      <w:pPr>
        <w:jc w:val="center"/>
        <w:rPr>
          <w:szCs w:val="24"/>
          <w:lang w:val="en-US"/>
        </w:rPr>
      </w:pPr>
    </w:p>
    <w:p w:rsidR="0008315C" w:rsidRPr="00E61675" w:rsidRDefault="0008315C" w:rsidP="0008315C">
      <w:pPr>
        <w:jc w:val="center"/>
        <w:rPr>
          <w:b/>
          <w:sz w:val="28"/>
          <w:szCs w:val="28"/>
          <w:lang w:val="en-US"/>
        </w:rPr>
      </w:pPr>
      <w:r w:rsidRPr="00E61675">
        <w:rPr>
          <w:b/>
          <w:sz w:val="28"/>
          <w:szCs w:val="28"/>
          <w:lang w:val="en-US"/>
        </w:rPr>
        <w:t>V CRISA INTERNATIONAL CONFERENCE</w:t>
      </w:r>
    </w:p>
    <w:p w:rsidR="0008315C" w:rsidRPr="00E61675" w:rsidRDefault="0008315C" w:rsidP="0008315C">
      <w:pPr>
        <w:jc w:val="center"/>
        <w:rPr>
          <w:szCs w:val="24"/>
          <w:lang w:val="en-US"/>
        </w:rPr>
      </w:pPr>
      <w:r w:rsidRPr="00E61675">
        <w:rPr>
          <w:szCs w:val="24"/>
          <w:lang w:val="en-US"/>
        </w:rPr>
        <w:t>Rome, September 18-20, 2023</w:t>
      </w:r>
    </w:p>
    <w:p w:rsidR="0008315C" w:rsidRPr="00E61675" w:rsidRDefault="0008315C" w:rsidP="0008315C">
      <w:pPr>
        <w:jc w:val="center"/>
        <w:rPr>
          <w:szCs w:val="24"/>
          <w:lang w:val="en-US"/>
        </w:rPr>
      </w:pPr>
    </w:p>
    <w:p w:rsidR="0008315C" w:rsidRPr="00E61675" w:rsidRDefault="0008315C" w:rsidP="0008315C">
      <w:pPr>
        <w:jc w:val="center"/>
        <w:rPr>
          <w:sz w:val="28"/>
          <w:szCs w:val="28"/>
          <w:lang w:val="en-US"/>
        </w:rPr>
      </w:pPr>
      <w:r w:rsidRPr="00E61675">
        <w:rPr>
          <w:sz w:val="28"/>
          <w:szCs w:val="28"/>
          <w:lang w:val="en-US"/>
        </w:rPr>
        <w:t>American Archives</w:t>
      </w:r>
    </w:p>
    <w:p w:rsidR="0008315C" w:rsidRPr="00E61675" w:rsidRDefault="0008315C" w:rsidP="0008315C">
      <w:pPr>
        <w:jc w:val="center"/>
        <w:rPr>
          <w:szCs w:val="24"/>
          <w:lang w:val="en-US"/>
        </w:rPr>
      </w:pPr>
      <w:proofErr w:type="spellStart"/>
      <w:r w:rsidRPr="00E61675">
        <w:rPr>
          <w:szCs w:val="24"/>
          <w:lang w:val="en-US"/>
        </w:rPr>
        <w:t>Virtuality</w:t>
      </w:r>
      <w:proofErr w:type="spellEnd"/>
      <w:r w:rsidRPr="00E61675">
        <w:rPr>
          <w:szCs w:val="24"/>
          <w:lang w:val="en-US"/>
        </w:rPr>
        <w:t>, Memory, Media Archaeology</w:t>
      </w:r>
    </w:p>
    <w:p w:rsidR="0008315C" w:rsidRPr="00E61675" w:rsidRDefault="0008315C" w:rsidP="0008315C">
      <w:pPr>
        <w:jc w:val="center"/>
        <w:rPr>
          <w:szCs w:val="24"/>
          <w:lang w:val="en-US"/>
        </w:rPr>
      </w:pPr>
    </w:p>
    <w:p w:rsidR="00E62B4C" w:rsidRDefault="00E62B4C" w:rsidP="0008315C">
      <w:pPr>
        <w:jc w:val="both"/>
        <w:rPr>
          <w:szCs w:val="24"/>
          <w:lang w:val="en-US"/>
        </w:rPr>
      </w:pPr>
    </w:p>
    <w:p w:rsidR="0008315C" w:rsidRPr="00E61675" w:rsidRDefault="0008315C" w:rsidP="0008315C">
      <w:pPr>
        <w:jc w:val="both"/>
        <w:rPr>
          <w:szCs w:val="24"/>
          <w:lang w:val="en-US"/>
        </w:rPr>
      </w:pPr>
      <w:r>
        <w:rPr>
          <w:szCs w:val="24"/>
          <w:lang w:val="en-US"/>
        </w:rPr>
        <w:t>A</w:t>
      </w:r>
      <w:r w:rsidRPr="00E61675">
        <w:rPr>
          <w:szCs w:val="24"/>
          <w:lang w:val="en-US"/>
        </w:rPr>
        <w:t xml:space="preserve">s acts inscribed and archived on some </w:t>
      </w:r>
      <w:r>
        <w:rPr>
          <w:szCs w:val="24"/>
          <w:lang w:val="en-US"/>
        </w:rPr>
        <w:t xml:space="preserve">form of </w:t>
      </w:r>
      <w:r w:rsidRPr="00E61675">
        <w:rPr>
          <w:szCs w:val="24"/>
          <w:lang w:val="en-US"/>
        </w:rPr>
        <w:t>material medium</w:t>
      </w:r>
      <w:r>
        <w:rPr>
          <w:szCs w:val="24"/>
          <w:lang w:val="en-US"/>
        </w:rPr>
        <w:t xml:space="preserve"> —</w:t>
      </w:r>
      <w:r w:rsidRPr="00E61675">
        <w:rPr>
          <w:szCs w:val="24"/>
          <w:lang w:val="en-US"/>
        </w:rPr>
        <w:t xml:space="preserve"> paper or digital</w:t>
      </w:r>
      <w:r>
        <w:rPr>
          <w:szCs w:val="24"/>
          <w:lang w:val="en-US"/>
        </w:rPr>
        <w:t xml:space="preserve"> —</w:t>
      </w:r>
      <w:r w:rsidRPr="00E61675">
        <w:rPr>
          <w:szCs w:val="24"/>
          <w:lang w:val="en-US"/>
        </w:rPr>
        <w:t xml:space="preserve"> </w:t>
      </w:r>
      <w:r>
        <w:rPr>
          <w:szCs w:val="24"/>
          <w:lang w:val="en-US"/>
        </w:rPr>
        <w:t>d</w:t>
      </w:r>
      <w:r w:rsidRPr="00E61675">
        <w:rPr>
          <w:szCs w:val="24"/>
          <w:lang w:val="en-US"/>
        </w:rPr>
        <w:t>ocuments</w:t>
      </w:r>
      <w:r>
        <w:rPr>
          <w:szCs w:val="24"/>
          <w:lang w:val="en-US"/>
        </w:rPr>
        <w:t xml:space="preserve"> </w:t>
      </w:r>
      <w:r w:rsidRPr="00E61675">
        <w:rPr>
          <w:szCs w:val="24"/>
          <w:lang w:val="en-US"/>
        </w:rPr>
        <w:t xml:space="preserve">are traces that allow collective and individual memories to </w:t>
      </w:r>
      <w:r>
        <w:rPr>
          <w:szCs w:val="24"/>
          <w:lang w:val="en-US"/>
        </w:rPr>
        <w:t>establish</w:t>
      </w:r>
      <w:r w:rsidRPr="00E61675">
        <w:rPr>
          <w:szCs w:val="24"/>
          <w:lang w:val="en-US"/>
        </w:rPr>
        <w:t xml:space="preserve"> social and historical realities. The archives that collect </w:t>
      </w:r>
      <w:r>
        <w:rPr>
          <w:szCs w:val="24"/>
          <w:lang w:val="en-US"/>
        </w:rPr>
        <w:t>such</w:t>
      </w:r>
      <w:r w:rsidRPr="00E61675">
        <w:rPr>
          <w:szCs w:val="24"/>
          <w:lang w:val="en-US"/>
        </w:rPr>
        <w:t xml:space="preserve"> traces play a central role because</w:t>
      </w:r>
      <w:r>
        <w:rPr>
          <w:szCs w:val="24"/>
          <w:lang w:val="en-US"/>
        </w:rPr>
        <w:t>,</w:t>
      </w:r>
      <w:r w:rsidRPr="00E61675">
        <w:rPr>
          <w:szCs w:val="24"/>
          <w:lang w:val="en-US"/>
        </w:rPr>
        <w:t xml:space="preserve"> through them</w:t>
      </w:r>
      <w:r>
        <w:rPr>
          <w:szCs w:val="24"/>
          <w:lang w:val="en-US"/>
        </w:rPr>
        <w:t>,</w:t>
      </w:r>
      <w:r w:rsidRPr="00E61675">
        <w:rPr>
          <w:szCs w:val="24"/>
          <w:lang w:val="en-US"/>
        </w:rPr>
        <w:t xml:space="preserve"> processes of elaboration, reworking</w:t>
      </w:r>
      <w:r>
        <w:rPr>
          <w:szCs w:val="24"/>
          <w:lang w:val="en-US"/>
        </w:rPr>
        <w:t>,</w:t>
      </w:r>
      <w:r w:rsidRPr="00E61675">
        <w:rPr>
          <w:szCs w:val="24"/>
          <w:lang w:val="en-US"/>
        </w:rPr>
        <w:t xml:space="preserve"> and questioning of interconnected national and transnational collective memories </w:t>
      </w:r>
      <w:r>
        <w:rPr>
          <w:szCs w:val="24"/>
          <w:lang w:val="en-US"/>
        </w:rPr>
        <w:t>become</w:t>
      </w:r>
      <w:r w:rsidRPr="00E61675">
        <w:rPr>
          <w:szCs w:val="24"/>
          <w:lang w:val="en-US"/>
        </w:rPr>
        <w:t xml:space="preserve"> possible. Archives thus </w:t>
      </w:r>
      <w:r>
        <w:rPr>
          <w:szCs w:val="24"/>
          <w:lang w:val="en-US"/>
        </w:rPr>
        <w:t>allow us</w:t>
      </w:r>
      <w:r w:rsidRPr="00E61675">
        <w:rPr>
          <w:szCs w:val="24"/>
          <w:lang w:val="en-US"/>
        </w:rPr>
        <w:t xml:space="preserve"> to rethink the cultural heritage of a community, contributing to the elaboration of new historical and social models. Such processes can help strengthen democratic structures, especially when it comes to the experiences and knowledge of subaltern groups historically excluded from public debates. </w:t>
      </w:r>
    </w:p>
    <w:p w:rsidR="00DB0043" w:rsidRDefault="00DB0043" w:rsidP="0008315C">
      <w:pPr>
        <w:jc w:val="both"/>
        <w:rPr>
          <w:szCs w:val="24"/>
          <w:lang w:val="en-US"/>
        </w:rPr>
      </w:pPr>
    </w:p>
    <w:p w:rsidR="0008315C" w:rsidRPr="00E61675" w:rsidRDefault="0008315C" w:rsidP="0008315C">
      <w:pPr>
        <w:jc w:val="both"/>
        <w:rPr>
          <w:szCs w:val="24"/>
          <w:lang w:val="en-US"/>
        </w:rPr>
      </w:pPr>
      <w:r w:rsidRPr="00E61675">
        <w:rPr>
          <w:szCs w:val="24"/>
          <w:lang w:val="en-US"/>
        </w:rPr>
        <w:t xml:space="preserve">The digital has decisively transformed not only the processes of producing and depositing new documentary material, but also the ways in which historical materials are preserved and enhanced. In an area </w:t>
      </w:r>
      <w:r>
        <w:rPr>
          <w:szCs w:val="24"/>
          <w:lang w:val="en-US"/>
        </w:rPr>
        <w:t>such as</w:t>
      </w:r>
      <w:r w:rsidRPr="00E61675">
        <w:rPr>
          <w:szCs w:val="24"/>
          <w:lang w:val="en-US"/>
        </w:rPr>
        <w:t xml:space="preserve"> the United States, for example, where the civilization of writing began at least five centuries ago</w:t>
      </w:r>
      <w:r>
        <w:rPr>
          <w:szCs w:val="24"/>
          <w:lang w:val="en-US"/>
        </w:rPr>
        <w:t xml:space="preserve"> — </w:t>
      </w:r>
      <w:r w:rsidRPr="00E61675">
        <w:rPr>
          <w:szCs w:val="24"/>
          <w:lang w:val="en-US"/>
        </w:rPr>
        <w:t>not counting pre-Columbian forms of writing</w:t>
      </w:r>
      <w:r>
        <w:rPr>
          <w:szCs w:val="24"/>
          <w:lang w:val="en-US"/>
        </w:rPr>
        <w:t xml:space="preserve"> — </w:t>
      </w:r>
      <w:r w:rsidRPr="00E61675">
        <w:rPr>
          <w:szCs w:val="24"/>
          <w:lang w:val="en-US"/>
        </w:rPr>
        <w:t xml:space="preserve">this raises the question of how colonial-era archives are preserved and transferred. </w:t>
      </w:r>
    </w:p>
    <w:p w:rsidR="00DB0043" w:rsidRDefault="00DB0043" w:rsidP="0008315C">
      <w:pPr>
        <w:jc w:val="both"/>
        <w:rPr>
          <w:szCs w:val="24"/>
          <w:lang w:val="en-US"/>
        </w:rPr>
      </w:pPr>
    </w:p>
    <w:p w:rsidR="0008315C" w:rsidRPr="00E61675" w:rsidRDefault="0008315C" w:rsidP="0008315C">
      <w:pPr>
        <w:jc w:val="both"/>
        <w:rPr>
          <w:szCs w:val="24"/>
          <w:lang w:val="en-US"/>
        </w:rPr>
      </w:pPr>
      <w:r w:rsidRPr="00E61675">
        <w:rPr>
          <w:szCs w:val="24"/>
          <w:lang w:val="en-US"/>
        </w:rPr>
        <w:t xml:space="preserve">Digital history is an </w:t>
      </w:r>
      <w:r>
        <w:rPr>
          <w:szCs w:val="24"/>
          <w:lang w:val="en-US"/>
        </w:rPr>
        <w:t>examination and representation of</w:t>
      </w:r>
      <w:r w:rsidRPr="00E61675">
        <w:rPr>
          <w:szCs w:val="24"/>
          <w:lang w:val="en-US"/>
        </w:rPr>
        <w:t xml:space="preserve"> </w:t>
      </w:r>
      <w:r>
        <w:rPr>
          <w:szCs w:val="24"/>
          <w:lang w:val="en-US"/>
        </w:rPr>
        <w:t>a</w:t>
      </w:r>
      <w:r w:rsidRPr="00E61675">
        <w:rPr>
          <w:szCs w:val="24"/>
          <w:lang w:val="en-US"/>
        </w:rPr>
        <w:t xml:space="preserve"> past that takes advantage of new communication technologies. It produces and shares historical knowledge, drawing on the features </w:t>
      </w:r>
      <w:proofErr w:type="gramStart"/>
      <w:r w:rsidRPr="00E61675">
        <w:rPr>
          <w:szCs w:val="24"/>
          <w:lang w:val="en-US"/>
        </w:rPr>
        <w:t>of</w:t>
      </w:r>
      <w:proofErr w:type="gramEnd"/>
      <w:r w:rsidRPr="00E61675">
        <w:rPr>
          <w:szCs w:val="24"/>
          <w:lang w:val="en-US"/>
        </w:rPr>
        <w:t xml:space="preserve"> the field, such as databases, </w:t>
      </w:r>
      <w:proofErr w:type="spellStart"/>
      <w:r w:rsidRPr="00E61675">
        <w:rPr>
          <w:szCs w:val="24"/>
          <w:lang w:val="en-US"/>
        </w:rPr>
        <w:t>hypertextualization</w:t>
      </w:r>
      <w:proofErr w:type="spellEnd"/>
      <w:r>
        <w:rPr>
          <w:szCs w:val="24"/>
          <w:lang w:val="en-US"/>
        </w:rPr>
        <w:t>,</w:t>
      </w:r>
      <w:r w:rsidRPr="00E61675">
        <w:rPr>
          <w:szCs w:val="24"/>
          <w:lang w:val="en-US"/>
        </w:rPr>
        <w:t xml:space="preserve"> and networks. </w:t>
      </w:r>
    </w:p>
    <w:p w:rsidR="00DB0043" w:rsidRDefault="00DB0043" w:rsidP="0008315C">
      <w:pPr>
        <w:jc w:val="both"/>
        <w:rPr>
          <w:szCs w:val="24"/>
          <w:lang w:val="en-US"/>
        </w:rPr>
      </w:pPr>
    </w:p>
    <w:p w:rsidR="0008315C" w:rsidRPr="00E61675" w:rsidRDefault="0008315C" w:rsidP="0008315C">
      <w:pPr>
        <w:jc w:val="both"/>
        <w:rPr>
          <w:szCs w:val="24"/>
          <w:lang w:val="en-US"/>
        </w:rPr>
      </w:pPr>
      <w:r w:rsidRPr="00E61675">
        <w:rPr>
          <w:szCs w:val="24"/>
          <w:lang w:val="en-US"/>
        </w:rPr>
        <w:t xml:space="preserve">In the era of </w:t>
      </w:r>
      <w:proofErr w:type="spellStart"/>
      <w:r w:rsidRPr="00E61675">
        <w:rPr>
          <w:szCs w:val="24"/>
          <w:lang w:val="en-US"/>
        </w:rPr>
        <w:t>documentality</w:t>
      </w:r>
      <w:proofErr w:type="spellEnd"/>
      <w:r w:rsidRPr="00E61675">
        <w:rPr>
          <w:szCs w:val="24"/>
          <w:lang w:val="en-US"/>
        </w:rPr>
        <w:t xml:space="preserve"> and Big Data, in which time and geographic spaces are fragmented and </w:t>
      </w:r>
      <w:r>
        <w:rPr>
          <w:szCs w:val="24"/>
          <w:lang w:val="en-US"/>
        </w:rPr>
        <w:t>then reconnected once more on the net</w:t>
      </w:r>
      <w:r w:rsidRPr="00E61675">
        <w:rPr>
          <w:szCs w:val="24"/>
          <w:lang w:val="en-US"/>
        </w:rPr>
        <w:t>, the shift from paper to digital archives also contribut</w:t>
      </w:r>
      <w:r>
        <w:rPr>
          <w:szCs w:val="24"/>
          <w:lang w:val="en-US"/>
        </w:rPr>
        <w:t>es</w:t>
      </w:r>
      <w:r w:rsidRPr="00E61675">
        <w:rPr>
          <w:szCs w:val="24"/>
          <w:lang w:val="en-US"/>
        </w:rPr>
        <w:t xml:space="preserve"> to </w:t>
      </w:r>
      <w:r>
        <w:rPr>
          <w:szCs w:val="24"/>
          <w:lang w:val="en-US"/>
        </w:rPr>
        <w:t xml:space="preserve">a </w:t>
      </w:r>
      <w:r w:rsidRPr="00E61675">
        <w:rPr>
          <w:szCs w:val="24"/>
          <w:lang w:val="en-US"/>
        </w:rPr>
        <w:t xml:space="preserve">changing relationship between </w:t>
      </w:r>
      <w:r>
        <w:rPr>
          <w:szCs w:val="24"/>
          <w:lang w:val="en-US"/>
        </w:rPr>
        <w:t xml:space="preserve">the </w:t>
      </w:r>
      <w:r w:rsidRPr="00E61675">
        <w:rPr>
          <w:szCs w:val="24"/>
          <w:lang w:val="en-US"/>
        </w:rPr>
        <w:t xml:space="preserve">public and </w:t>
      </w:r>
      <w:r>
        <w:rPr>
          <w:szCs w:val="24"/>
          <w:lang w:val="en-US"/>
        </w:rPr>
        <w:t xml:space="preserve">the </w:t>
      </w:r>
      <w:r w:rsidRPr="00E61675">
        <w:rPr>
          <w:szCs w:val="24"/>
          <w:lang w:val="en-US"/>
        </w:rPr>
        <w:t xml:space="preserve">private. </w:t>
      </w:r>
      <w:proofErr w:type="gramStart"/>
      <w:r w:rsidRPr="00E61675">
        <w:rPr>
          <w:szCs w:val="24"/>
          <w:lang w:val="en-US"/>
        </w:rPr>
        <w:t xml:space="preserve">The increasing centrality of the technical medium for storing and managing information has exposed us to processes of reconstruction of established truths and forms of </w:t>
      </w:r>
      <w:proofErr w:type="spellStart"/>
      <w:r w:rsidRPr="00E61675">
        <w:rPr>
          <w:szCs w:val="24"/>
          <w:lang w:val="en-US"/>
        </w:rPr>
        <w:t>instrumentalization</w:t>
      </w:r>
      <w:proofErr w:type="spellEnd"/>
      <w:r w:rsidRPr="00E61675">
        <w:rPr>
          <w:szCs w:val="24"/>
          <w:lang w:val="en-US"/>
        </w:rPr>
        <w:t xml:space="preserve"> of collective knowledge through the generation of post-truths in which the normative force of documents, intertwined with the pervasiveness of media, exacerbates and often </w:t>
      </w:r>
      <w:proofErr w:type="spellStart"/>
      <w:r w:rsidRPr="00E61675">
        <w:rPr>
          <w:szCs w:val="24"/>
          <w:lang w:val="en-US"/>
        </w:rPr>
        <w:t>instrumentalizes</w:t>
      </w:r>
      <w:proofErr w:type="spellEnd"/>
      <w:r w:rsidRPr="00E61675">
        <w:rPr>
          <w:szCs w:val="24"/>
          <w:lang w:val="en-US"/>
        </w:rPr>
        <w:t xml:space="preserve"> the political, historical, judicial, cultural</w:t>
      </w:r>
      <w:r>
        <w:rPr>
          <w:szCs w:val="24"/>
          <w:lang w:val="en-US"/>
        </w:rPr>
        <w:t>,</w:t>
      </w:r>
      <w:r w:rsidRPr="00E61675">
        <w:rPr>
          <w:szCs w:val="24"/>
          <w:lang w:val="en-US"/>
        </w:rPr>
        <w:t xml:space="preserve"> and artistic uses otherwise inherent in archives.</w:t>
      </w:r>
      <w:proofErr w:type="gramEnd"/>
    </w:p>
    <w:p w:rsidR="00DB0043" w:rsidRDefault="00DB0043" w:rsidP="0008315C">
      <w:pPr>
        <w:jc w:val="both"/>
        <w:rPr>
          <w:szCs w:val="24"/>
          <w:lang w:val="en-US"/>
        </w:rPr>
      </w:pPr>
    </w:p>
    <w:p w:rsidR="0008315C" w:rsidRPr="00E61675" w:rsidRDefault="0008315C" w:rsidP="0008315C">
      <w:pPr>
        <w:jc w:val="both"/>
        <w:rPr>
          <w:szCs w:val="24"/>
          <w:lang w:val="en-US"/>
        </w:rPr>
      </w:pPr>
      <w:r w:rsidRPr="00E61675">
        <w:rPr>
          <w:szCs w:val="24"/>
          <w:lang w:val="en-US"/>
        </w:rPr>
        <w:t>The Fifth CRISA conference</w:t>
      </w:r>
      <w:r>
        <w:rPr>
          <w:szCs w:val="24"/>
          <w:lang w:val="en-US"/>
        </w:rPr>
        <w:t>,</w:t>
      </w:r>
      <w:r w:rsidRPr="00E61675">
        <w:rPr>
          <w:szCs w:val="24"/>
          <w:lang w:val="en-US"/>
        </w:rPr>
        <w:t xml:space="preserve"> </w:t>
      </w:r>
      <w:r>
        <w:rPr>
          <w:szCs w:val="24"/>
          <w:lang w:val="en-US"/>
        </w:rPr>
        <w:t>“</w:t>
      </w:r>
      <w:r w:rsidRPr="00E61675">
        <w:rPr>
          <w:szCs w:val="24"/>
          <w:lang w:val="en-US"/>
        </w:rPr>
        <w:t xml:space="preserve">American Archives: </w:t>
      </w:r>
      <w:proofErr w:type="spellStart"/>
      <w:r>
        <w:rPr>
          <w:szCs w:val="24"/>
          <w:lang w:val="en-US"/>
        </w:rPr>
        <w:t>V</w:t>
      </w:r>
      <w:r w:rsidRPr="00E61675">
        <w:rPr>
          <w:szCs w:val="24"/>
          <w:lang w:val="en-US"/>
        </w:rPr>
        <w:t>irtuality</w:t>
      </w:r>
      <w:proofErr w:type="spellEnd"/>
      <w:r w:rsidRPr="00E61675">
        <w:rPr>
          <w:szCs w:val="24"/>
          <w:lang w:val="en-US"/>
        </w:rPr>
        <w:t xml:space="preserve">, </w:t>
      </w:r>
      <w:r>
        <w:rPr>
          <w:szCs w:val="24"/>
          <w:lang w:val="en-US"/>
        </w:rPr>
        <w:t>M</w:t>
      </w:r>
      <w:r w:rsidRPr="00E61675">
        <w:rPr>
          <w:szCs w:val="24"/>
          <w:lang w:val="en-US"/>
        </w:rPr>
        <w:t xml:space="preserve">emory, </w:t>
      </w:r>
      <w:r>
        <w:rPr>
          <w:szCs w:val="24"/>
          <w:lang w:val="en-US"/>
        </w:rPr>
        <w:t>M</w:t>
      </w:r>
      <w:r w:rsidRPr="00E61675">
        <w:rPr>
          <w:szCs w:val="24"/>
          <w:lang w:val="en-US"/>
        </w:rPr>
        <w:t xml:space="preserve">edia </w:t>
      </w:r>
      <w:r>
        <w:rPr>
          <w:szCs w:val="24"/>
          <w:lang w:val="en-US"/>
        </w:rPr>
        <w:t>A</w:t>
      </w:r>
      <w:r w:rsidRPr="00E61675">
        <w:rPr>
          <w:szCs w:val="24"/>
          <w:lang w:val="en-US"/>
        </w:rPr>
        <w:t>rchaeology</w:t>
      </w:r>
      <w:r>
        <w:rPr>
          <w:szCs w:val="24"/>
          <w:lang w:val="en-US"/>
        </w:rPr>
        <w:t>”,</w:t>
      </w:r>
      <w:r w:rsidRPr="00E61675">
        <w:rPr>
          <w:szCs w:val="24"/>
          <w:lang w:val="en-US"/>
        </w:rPr>
        <w:t xml:space="preserve"> offer</w:t>
      </w:r>
      <w:r>
        <w:rPr>
          <w:szCs w:val="24"/>
          <w:lang w:val="en-US"/>
        </w:rPr>
        <w:t>s</w:t>
      </w:r>
      <w:r w:rsidRPr="00E61675">
        <w:rPr>
          <w:szCs w:val="24"/>
          <w:lang w:val="en-US"/>
        </w:rPr>
        <w:t xml:space="preserve"> </w:t>
      </w:r>
      <w:r>
        <w:rPr>
          <w:szCs w:val="24"/>
          <w:lang w:val="en-US"/>
        </w:rPr>
        <w:t>the</w:t>
      </w:r>
      <w:r w:rsidRPr="00E61675">
        <w:rPr>
          <w:szCs w:val="24"/>
          <w:lang w:val="en-US"/>
        </w:rPr>
        <w:t xml:space="preserve"> opportunity for multidisciplinary and interdisciplinary investigation and </w:t>
      </w:r>
      <w:proofErr w:type="spellStart"/>
      <w:r w:rsidRPr="00E61675">
        <w:rPr>
          <w:szCs w:val="24"/>
          <w:lang w:val="en-US"/>
        </w:rPr>
        <w:t>problematization</w:t>
      </w:r>
      <w:proofErr w:type="spellEnd"/>
      <w:r w:rsidRPr="00E61675">
        <w:rPr>
          <w:szCs w:val="24"/>
          <w:lang w:val="en-US"/>
        </w:rPr>
        <w:t xml:space="preserve"> of the medial, technical, cultural</w:t>
      </w:r>
      <w:r>
        <w:rPr>
          <w:szCs w:val="24"/>
          <w:lang w:val="en-US"/>
        </w:rPr>
        <w:t>,</w:t>
      </w:r>
      <w:r w:rsidRPr="00E61675">
        <w:rPr>
          <w:szCs w:val="24"/>
          <w:lang w:val="en-US"/>
        </w:rPr>
        <w:t xml:space="preserve"> and aesthetic aspects of the digitization of knowledge. In particular, history, sociology, anthropology, philosophy, literature, architecture, geography, music, and visual arts are all disciplines that can approach the topic using different methodological tools and making interesting contributions. Indeed, the multidisciplinary approach allows for an in-depth examination of the transitional condition of archives, both in terms of their current political and cultural uses and in terms of their changing theoretical status.</w:t>
      </w:r>
    </w:p>
    <w:p w:rsidR="0008315C" w:rsidRPr="00E61675" w:rsidRDefault="0008315C" w:rsidP="0008315C">
      <w:pPr>
        <w:jc w:val="both"/>
        <w:rPr>
          <w:szCs w:val="24"/>
          <w:lang w:val="en-US"/>
        </w:rPr>
      </w:pPr>
    </w:p>
    <w:p w:rsidR="0008315C" w:rsidRPr="00E61675" w:rsidRDefault="0008315C" w:rsidP="0008315C">
      <w:pPr>
        <w:jc w:val="both"/>
        <w:rPr>
          <w:color w:val="000000" w:themeColor="text1"/>
          <w:szCs w:val="24"/>
          <w:lang w:val="en-US"/>
        </w:rPr>
      </w:pPr>
      <w:r>
        <w:rPr>
          <w:szCs w:val="24"/>
          <w:lang w:val="en-US"/>
        </w:rPr>
        <w:t>Possible related topics, but not limited to, are</w:t>
      </w:r>
      <w:r w:rsidRPr="00E61675">
        <w:rPr>
          <w:color w:val="000000" w:themeColor="text1"/>
          <w:szCs w:val="24"/>
          <w:lang w:val="en-US"/>
        </w:rPr>
        <w:t>:</w:t>
      </w:r>
    </w:p>
    <w:p w:rsidR="0008315C" w:rsidRPr="00E61675" w:rsidRDefault="0008315C" w:rsidP="0008315C">
      <w:pPr>
        <w:pStyle w:val="Paragrafoelenco"/>
        <w:jc w:val="both"/>
        <w:rPr>
          <w:rFonts w:ascii="Times New Roman" w:hAnsi="Times New Roman" w:cs="Times New Roman"/>
          <w:sz w:val="24"/>
          <w:szCs w:val="24"/>
          <w:lang w:val="en-US"/>
        </w:rPr>
      </w:pP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How to redeem and reclassify existing archives (particularly institutional)</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Creation and re-creation of thematic archives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Relationships between archives and democratic processes for the recovery of subaltern collective memories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 xml:space="preserve">Potentialities and risks of digitizing archives </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Archive reading processes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Information and documentation: uses and ethical issues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Artistic uses of archives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Types of archives and storage</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cs="Times New Roman"/>
          <w:sz w:val="24"/>
          <w:szCs w:val="24"/>
          <w:lang w:val="en-US"/>
        </w:rPr>
        <w:t>Archiving and power relations</w:t>
      </w:r>
      <w:r>
        <w:rPr>
          <w:rFonts w:ascii="Times New Roman" w:hAnsi="Times New Roman" w:cs="Times New Roman"/>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proofErr w:type="spellStart"/>
      <w:r w:rsidRPr="00E61675">
        <w:rPr>
          <w:rFonts w:ascii="Times New Roman" w:hAnsi="Times New Roman"/>
          <w:color w:val="000000" w:themeColor="text1"/>
          <w:sz w:val="24"/>
          <w:szCs w:val="24"/>
          <w:lang w:val="en-US"/>
        </w:rPr>
        <w:t>Documentality</w:t>
      </w:r>
      <w:proofErr w:type="spellEnd"/>
      <w:r w:rsidRPr="00E61675">
        <w:rPr>
          <w:rFonts w:ascii="Times New Roman" w:hAnsi="Times New Roman"/>
          <w:color w:val="000000" w:themeColor="text1"/>
          <w:sz w:val="24"/>
          <w:szCs w:val="24"/>
          <w:lang w:val="en-US"/>
        </w:rPr>
        <w:t xml:space="preserve">, </w:t>
      </w:r>
      <w:proofErr w:type="spellStart"/>
      <w:r w:rsidRPr="00E61675">
        <w:rPr>
          <w:rFonts w:ascii="Times New Roman" w:hAnsi="Times New Roman"/>
          <w:color w:val="000000" w:themeColor="text1"/>
          <w:sz w:val="24"/>
          <w:szCs w:val="24"/>
          <w:lang w:val="en-US"/>
        </w:rPr>
        <w:t>virtuality</w:t>
      </w:r>
      <w:proofErr w:type="spellEnd"/>
      <w:r w:rsidRPr="00E61675">
        <w:rPr>
          <w:rFonts w:ascii="Times New Roman" w:hAnsi="Times New Roman"/>
          <w:color w:val="000000" w:themeColor="text1"/>
          <w:sz w:val="24"/>
          <w:szCs w:val="24"/>
          <w:lang w:val="en-US"/>
        </w:rPr>
        <w:t xml:space="preserve"> and memory</w:t>
      </w:r>
      <w:r>
        <w:rPr>
          <w:rFonts w:ascii="Times New Roman" w:hAnsi="Times New Roman"/>
          <w:color w:val="000000" w:themeColor="text1"/>
          <w:sz w:val="24"/>
          <w:szCs w:val="24"/>
          <w:lang w:val="en-US"/>
        </w:rPr>
        <w:t>;</w:t>
      </w:r>
    </w:p>
    <w:p w:rsidR="0008315C" w:rsidRPr="00E61675" w:rsidRDefault="0008315C" w:rsidP="0008315C">
      <w:pPr>
        <w:pStyle w:val="Paragrafoelenco"/>
        <w:numPr>
          <w:ilvl w:val="0"/>
          <w:numId w:val="1"/>
        </w:numPr>
        <w:jc w:val="both"/>
        <w:rPr>
          <w:rFonts w:ascii="Times New Roman" w:hAnsi="Times New Roman" w:cs="Times New Roman"/>
          <w:sz w:val="24"/>
          <w:szCs w:val="24"/>
          <w:lang w:val="en-US"/>
        </w:rPr>
      </w:pPr>
      <w:r w:rsidRPr="00E61675">
        <w:rPr>
          <w:rFonts w:ascii="Times New Roman" w:hAnsi="Times New Roman"/>
          <w:sz w:val="24"/>
          <w:szCs w:val="24"/>
          <w:lang w:val="en-US"/>
        </w:rPr>
        <w:t>Archives of writers and artists</w:t>
      </w:r>
      <w:r>
        <w:rPr>
          <w:rFonts w:ascii="Times New Roman" w:hAnsi="Times New Roman"/>
          <w:sz w:val="24"/>
          <w:szCs w:val="24"/>
          <w:lang w:val="en-US"/>
        </w:rPr>
        <w:t>;</w:t>
      </w:r>
    </w:p>
    <w:p w:rsidR="0008315C" w:rsidRPr="00E61675" w:rsidRDefault="0008315C" w:rsidP="0008315C">
      <w:pPr>
        <w:pStyle w:val="Paragrafoelenco"/>
        <w:numPr>
          <w:ilvl w:val="0"/>
          <w:numId w:val="1"/>
        </w:numPr>
        <w:spacing w:after="200" w:line="276" w:lineRule="auto"/>
        <w:jc w:val="both"/>
        <w:rPr>
          <w:rFonts w:ascii="Times New Roman" w:hAnsi="Times New Roman"/>
          <w:sz w:val="24"/>
          <w:szCs w:val="24"/>
          <w:lang w:val="en-US"/>
        </w:rPr>
      </w:pPr>
      <w:r w:rsidRPr="00E61675">
        <w:rPr>
          <w:rFonts w:ascii="Times New Roman" w:hAnsi="Times New Roman"/>
          <w:sz w:val="24"/>
          <w:szCs w:val="24"/>
          <w:lang w:val="en-US"/>
        </w:rPr>
        <w:t>Digital history.</w:t>
      </w:r>
    </w:p>
    <w:p w:rsidR="0008315C" w:rsidRPr="00E61675" w:rsidRDefault="0008315C" w:rsidP="0008315C">
      <w:pPr>
        <w:spacing w:after="200" w:line="276" w:lineRule="auto"/>
        <w:rPr>
          <w:color w:val="000000" w:themeColor="text1"/>
          <w:szCs w:val="24"/>
          <w:lang w:val="en-US"/>
        </w:rPr>
      </w:pPr>
    </w:p>
    <w:p w:rsidR="0008315C" w:rsidRPr="00E61675" w:rsidRDefault="0008315C" w:rsidP="0008315C">
      <w:pPr>
        <w:rPr>
          <w:color w:val="000000" w:themeColor="text1"/>
          <w:szCs w:val="24"/>
          <w:lang w:val="en-US"/>
        </w:rPr>
      </w:pPr>
      <w:r w:rsidRPr="00E61675">
        <w:rPr>
          <w:color w:val="000000" w:themeColor="text1"/>
          <w:szCs w:val="24"/>
          <w:lang w:val="en-US"/>
        </w:rPr>
        <w:t xml:space="preserve">Applications for participation in the conference must be </w:t>
      </w:r>
      <w:r>
        <w:rPr>
          <w:color w:val="000000" w:themeColor="text1"/>
          <w:szCs w:val="24"/>
          <w:lang w:val="en-US"/>
        </w:rPr>
        <w:t xml:space="preserve">sent to </w:t>
      </w:r>
      <w:hyperlink r:id="rId7" w:history="1">
        <w:r w:rsidRPr="00E61675">
          <w:rPr>
            <w:rStyle w:val="Collegamentoipertestuale"/>
            <w:b/>
            <w:color w:val="000000" w:themeColor="text1"/>
            <w:szCs w:val="24"/>
            <w:lang w:val="en-US"/>
          </w:rPr>
          <w:t>crisa@uniroma3.it</w:t>
        </w:r>
      </w:hyperlink>
      <w:r w:rsidRPr="00E61675">
        <w:rPr>
          <w:color w:val="000000" w:themeColor="text1"/>
          <w:szCs w:val="24"/>
          <w:lang w:val="en-US"/>
        </w:rPr>
        <w:t xml:space="preserve"> by </w:t>
      </w:r>
      <w:r w:rsidRPr="00E61675">
        <w:rPr>
          <w:b/>
          <w:color w:val="000000" w:themeColor="text1"/>
          <w:szCs w:val="24"/>
          <w:lang w:val="en-US"/>
        </w:rPr>
        <w:t>Feb. 28, 2023</w:t>
      </w:r>
      <w:r>
        <w:rPr>
          <w:bCs/>
          <w:color w:val="000000" w:themeColor="text1"/>
          <w:szCs w:val="24"/>
          <w:lang w:val="en-US"/>
        </w:rPr>
        <w:t>,</w:t>
      </w:r>
      <w:r w:rsidRPr="00E61675">
        <w:rPr>
          <w:b/>
          <w:color w:val="000000" w:themeColor="text1"/>
          <w:szCs w:val="24"/>
          <w:lang w:val="en-US"/>
        </w:rPr>
        <w:t xml:space="preserve"> </w:t>
      </w:r>
      <w:r w:rsidRPr="00D164F9">
        <w:rPr>
          <w:bCs/>
          <w:color w:val="000000" w:themeColor="text1"/>
          <w:szCs w:val="24"/>
          <w:lang w:val="en-US"/>
        </w:rPr>
        <w:t>by filling</w:t>
      </w:r>
      <w:r w:rsidRPr="00E61675">
        <w:rPr>
          <w:color w:val="000000" w:themeColor="text1"/>
          <w:szCs w:val="24"/>
          <w:lang w:val="en-US"/>
        </w:rPr>
        <w:t xml:space="preserve"> out the appropriate form including title, abstract (max. 200 words) and brief CV (max. 15 lines: academic or institutional position, research areas, last three publications).</w:t>
      </w:r>
    </w:p>
    <w:p w:rsidR="0008315C" w:rsidRPr="00E61675" w:rsidRDefault="0008315C" w:rsidP="0008315C">
      <w:pPr>
        <w:rPr>
          <w:color w:val="000000" w:themeColor="text1"/>
          <w:szCs w:val="24"/>
          <w:lang w:val="en-US"/>
        </w:rPr>
      </w:pPr>
    </w:p>
    <w:p w:rsidR="0008315C" w:rsidRPr="00E61675" w:rsidRDefault="0008315C" w:rsidP="0008315C">
      <w:pPr>
        <w:rPr>
          <w:color w:val="000000" w:themeColor="text1"/>
          <w:szCs w:val="24"/>
          <w:lang w:val="en-US"/>
        </w:rPr>
      </w:pPr>
      <w:r w:rsidRPr="00E61675">
        <w:rPr>
          <w:color w:val="000000" w:themeColor="text1"/>
          <w:szCs w:val="24"/>
          <w:lang w:val="en-US"/>
        </w:rPr>
        <w:t xml:space="preserve">The official languages of the conference </w:t>
      </w:r>
      <w:r>
        <w:rPr>
          <w:color w:val="000000" w:themeColor="text1"/>
          <w:szCs w:val="24"/>
          <w:lang w:val="en-US"/>
        </w:rPr>
        <w:t>are</w:t>
      </w:r>
      <w:r w:rsidRPr="00E61675">
        <w:rPr>
          <w:color w:val="000000" w:themeColor="text1"/>
          <w:szCs w:val="24"/>
          <w:lang w:val="en-US"/>
        </w:rPr>
        <w:t xml:space="preserve"> Italian, English, Spanish, Portuguese, and French.</w:t>
      </w:r>
    </w:p>
    <w:p w:rsidR="0008315C" w:rsidRPr="00D164F9" w:rsidRDefault="0008315C" w:rsidP="0008315C">
      <w:pPr>
        <w:rPr>
          <w:color w:val="000000" w:themeColor="text1"/>
          <w:szCs w:val="24"/>
          <w:lang w:val="en-US"/>
        </w:rPr>
      </w:pPr>
      <w:proofErr w:type="gramStart"/>
      <w:r w:rsidRPr="00E61675">
        <w:rPr>
          <w:color w:val="000000" w:themeColor="text1"/>
          <w:szCs w:val="24"/>
          <w:lang w:val="en-US"/>
        </w:rPr>
        <w:t>Proposals will be screened by the Scientific Committee</w:t>
      </w:r>
      <w:proofErr w:type="gramEnd"/>
      <w:r w:rsidRPr="00E61675">
        <w:rPr>
          <w:color w:val="000000" w:themeColor="text1"/>
          <w:szCs w:val="24"/>
          <w:lang w:val="en-US"/>
        </w:rPr>
        <w:t xml:space="preserve"> by </w:t>
      </w:r>
      <w:r w:rsidRPr="00E61675">
        <w:rPr>
          <w:b/>
          <w:bCs/>
          <w:color w:val="000000" w:themeColor="text1"/>
          <w:szCs w:val="24"/>
          <w:lang w:val="en-US"/>
        </w:rPr>
        <w:t>April 30, 2023</w:t>
      </w:r>
      <w:r>
        <w:rPr>
          <w:color w:val="000000" w:themeColor="text1"/>
          <w:szCs w:val="24"/>
          <w:lang w:val="en-US"/>
        </w:rPr>
        <w:t>.</w:t>
      </w:r>
    </w:p>
    <w:p w:rsidR="0008315C" w:rsidRPr="00E61675" w:rsidRDefault="0008315C" w:rsidP="0008315C">
      <w:pPr>
        <w:rPr>
          <w:color w:val="000000" w:themeColor="text1"/>
          <w:szCs w:val="24"/>
          <w:lang w:val="en-US"/>
        </w:rPr>
      </w:pPr>
      <w:r w:rsidRPr="00E61675">
        <w:rPr>
          <w:color w:val="000000" w:themeColor="text1"/>
          <w:szCs w:val="24"/>
          <w:lang w:val="en-US"/>
        </w:rPr>
        <w:t xml:space="preserve">Papers should be </w:t>
      </w:r>
      <w:proofErr w:type="gramStart"/>
      <w:r w:rsidRPr="00E61675">
        <w:rPr>
          <w:color w:val="000000" w:themeColor="text1"/>
          <w:szCs w:val="24"/>
          <w:lang w:val="en-US"/>
        </w:rPr>
        <w:t xml:space="preserve">within six to seven </w:t>
      </w:r>
      <w:r>
        <w:rPr>
          <w:color w:val="000000" w:themeColor="text1"/>
          <w:szCs w:val="24"/>
          <w:lang w:val="en-US"/>
        </w:rPr>
        <w:t>pages</w:t>
      </w:r>
      <w:r w:rsidRPr="00E61675">
        <w:rPr>
          <w:color w:val="000000" w:themeColor="text1"/>
          <w:szCs w:val="24"/>
          <w:lang w:val="en-US"/>
        </w:rPr>
        <w:t xml:space="preserve"> at 1.5 space for </w:t>
      </w:r>
      <w:r>
        <w:rPr>
          <w:color w:val="000000" w:themeColor="text1"/>
          <w:szCs w:val="24"/>
          <w:lang w:val="en-US"/>
        </w:rPr>
        <w:t>a presentation from</w:t>
      </w:r>
      <w:r w:rsidRPr="00E61675">
        <w:rPr>
          <w:color w:val="000000" w:themeColor="text1"/>
          <w:szCs w:val="24"/>
          <w:lang w:val="en-US"/>
        </w:rPr>
        <w:t xml:space="preserve"> 20 to 25 minutes</w:t>
      </w:r>
      <w:proofErr w:type="gramEnd"/>
      <w:r w:rsidRPr="00E61675">
        <w:rPr>
          <w:color w:val="000000" w:themeColor="text1"/>
          <w:szCs w:val="24"/>
          <w:lang w:val="en-US"/>
        </w:rPr>
        <w:t xml:space="preserve">. </w:t>
      </w:r>
    </w:p>
    <w:p w:rsidR="0008315C" w:rsidRPr="00E61675" w:rsidRDefault="0008315C" w:rsidP="0008315C">
      <w:pPr>
        <w:rPr>
          <w:color w:val="000000" w:themeColor="text1"/>
          <w:szCs w:val="24"/>
          <w:lang w:val="en-US"/>
        </w:rPr>
      </w:pPr>
    </w:p>
    <w:p w:rsidR="0008315C" w:rsidRPr="00E61675" w:rsidRDefault="0008315C" w:rsidP="0008315C">
      <w:pPr>
        <w:rPr>
          <w:color w:val="000000" w:themeColor="text1"/>
          <w:szCs w:val="24"/>
          <w:lang w:val="en-US"/>
        </w:rPr>
      </w:pPr>
      <w:r w:rsidRPr="00E61675">
        <w:rPr>
          <w:color w:val="000000" w:themeColor="text1"/>
          <w:szCs w:val="24"/>
          <w:lang w:val="en-US"/>
        </w:rPr>
        <w:t>REGISTRATION</w:t>
      </w:r>
    </w:p>
    <w:p w:rsidR="0008315C" w:rsidRPr="00E61675" w:rsidRDefault="0008315C" w:rsidP="0008315C">
      <w:pPr>
        <w:jc w:val="both"/>
        <w:rPr>
          <w:color w:val="000000" w:themeColor="text1"/>
          <w:szCs w:val="24"/>
          <w:lang w:val="en-US"/>
        </w:rPr>
      </w:pPr>
      <w:r w:rsidRPr="00E61675">
        <w:rPr>
          <w:color w:val="000000" w:themeColor="text1"/>
          <w:szCs w:val="24"/>
          <w:lang w:val="en-US"/>
        </w:rPr>
        <w:t xml:space="preserve">The registration fee is € 120. For payments made by </w:t>
      </w:r>
      <w:r w:rsidRPr="00E61675">
        <w:rPr>
          <w:b/>
          <w:color w:val="000000" w:themeColor="text1"/>
          <w:szCs w:val="24"/>
          <w:lang w:val="en-US"/>
        </w:rPr>
        <w:t>June 30, 2023</w:t>
      </w:r>
      <w:r w:rsidRPr="00E61675">
        <w:rPr>
          <w:color w:val="000000" w:themeColor="text1"/>
          <w:szCs w:val="24"/>
          <w:lang w:val="en-US"/>
        </w:rPr>
        <w:t xml:space="preserve">, the fee </w:t>
      </w:r>
      <w:proofErr w:type="gramStart"/>
      <w:r>
        <w:rPr>
          <w:color w:val="000000" w:themeColor="text1"/>
          <w:szCs w:val="24"/>
          <w:lang w:val="en-US"/>
        </w:rPr>
        <w:t>will be</w:t>
      </w:r>
      <w:r w:rsidRPr="00E61675">
        <w:rPr>
          <w:color w:val="000000" w:themeColor="text1"/>
          <w:szCs w:val="24"/>
          <w:lang w:val="en-US"/>
        </w:rPr>
        <w:t xml:space="preserve"> reduced</w:t>
      </w:r>
      <w:proofErr w:type="gramEnd"/>
      <w:r w:rsidRPr="00E61675">
        <w:rPr>
          <w:color w:val="000000" w:themeColor="text1"/>
          <w:szCs w:val="24"/>
          <w:lang w:val="en-US"/>
        </w:rPr>
        <w:t xml:space="preserve"> to € 80.</w:t>
      </w:r>
    </w:p>
    <w:p w:rsidR="0008315C" w:rsidRPr="00E61675" w:rsidRDefault="0008315C" w:rsidP="0008315C">
      <w:pPr>
        <w:jc w:val="both"/>
        <w:rPr>
          <w:color w:val="000000" w:themeColor="text1"/>
          <w:szCs w:val="24"/>
          <w:lang w:val="en-US"/>
        </w:rPr>
      </w:pPr>
      <w:r w:rsidRPr="00E61675">
        <w:rPr>
          <w:color w:val="000000" w:themeColor="text1"/>
          <w:szCs w:val="24"/>
          <w:lang w:val="en-US"/>
        </w:rPr>
        <w:t xml:space="preserve">For young scholars (Ph.D. students, </w:t>
      </w:r>
      <w:r>
        <w:rPr>
          <w:color w:val="000000" w:themeColor="text1"/>
          <w:szCs w:val="24"/>
          <w:lang w:val="en-US"/>
        </w:rPr>
        <w:t>Post-Docs</w:t>
      </w:r>
      <w:r w:rsidRPr="00E61675">
        <w:rPr>
          <w:color w:val="000000" w:themeColor="text1"/>
          <w:szCs w:val="24"/>
          <w:lang w:val="en-US"/>
        </w:rPr>
        <w:t xml:space="preserve">, </w:t>
      </w:r>
      <w:r>
        <w:rPr>
          <w:color w:val="000000" w:themeColor="text1"/>
          <w:szCs w:val="24"/>
          <w:lang w:val="en-US"/>
        </w:rPr>
        <w:t>adjuncts</w:t>
      </w:r>
      <w:r w:rsidRPr="00E61675">
        <w:rPr>
          <w:color w:val="000000" w:themeColor="text1"/>
          <w:szCs w:val="24"/>
          <w:lang w:val="en-US"/>
        </w:rPr>
        <w:t xml:space="preserve">, and research fellows) the fee </w:t>
      </w:r>
      <w:proofErr w:type="gramStart"/>
      <w:r w:rsidRPr="00E61675">
        <w:rPr>
          <w:color w:val="000000" w:themeColor="text1"/>
          <w:szCs w:val="24"/>
          <w:lang w:val="en-US"/>
        </w:rPr>
        <w:t>is set</w:t>
      </w:r>
      <w:proofErr w:type="gramEnd"/>
      <w:r w:rsidRPr="00E61675">
        <w:rPr>
          <w:color w:val="000000" w:themeColor="text1"/>
          <w:szCs w:val="24"/>
          <w:lang w:val="en-US"/>
        </w:rPr>
        <w:t xml:space="preserve"> at €40. </w:t>
      </w:r>
    </w:p>
    <w:p w:rsidR="0008315C" w:rsidRPr="00E61675" w:rsidRDefault="0008315C" w:rsidP="0008315C">
      <w:pPr>
        <w:rPr>
          <w:color w:val="000000" w:themeColor="text1"/>
          <w:szCs w:val="24"/>
          <w:lang w:val="en-US"/>
        </w:rPr>
      </w:pPr>
      <w:r w:rsidRPr="00E61675">
        <w:rPr>
          <w:color w:val="000000" w:themeColor="text1"/>
          <w:szCs w:val="24"/>
          <w:lang w:val="en-US"/>
        </w:rPr>
        <w:t>For auditors only, access is free of charge.</w:t>
      </w:r>
    </w:p>
    <w:p w:rsidR="0008315C" w:rsidRDefault="0008315C" w:rsidP="0008315C">
      <w:pPr>
        <w:rPr>
          <w:color w:val="000000" w:themeColor="text1"/>
          <w:szCs w:val="24"/>
          <w:lang w:val="en-US"/>
        </w:rPr>
      </w:pPr>
      <w:r w:rsidRPr="00E61675">
        <w:rPr>
          <w:color w:val="000000" w:themeColor="text1"/>
          <w:szCs w:val="24"/>
          <w:lang w:val="en-US"/>
        </w:rPr>
        <w:t xml:space="preserve">The registration fee </w:t>
      </w:r>
      <w:r>
        <w:rPr>
          <w:color w:val="000000" w:themeColor="text1"/>
          <w:szCs w:val="24"/>
          <w:lang w:val="en-US"/>
        </w:rPr>
        <w:t>includes</w:t>
      </w:r>
      <w:r w:rsidRPr="00E61675">
        <w:rPr>
          <w:color w:val="000000" w:themeColor="text1"/>
          <w:szCs w:val="24"/>
          <w:lang w:val="en-US"/>
        </w:rPr>
        <w:t xml:space="preserve">: </w:t>
      </w:r>
    </w:p>
    <w:p w:rsidR="0008315C" w:rsidRPr="00E61675" w:rsidRDefault="0008315C" w:rsidP="0008315C">
      <w:pPr>
        <w:rPr>
          <w:color w:val="000000" w:themeColor="text1"/>
          <w:szCs w:val="24"/>
          <w:lang w:val="en-US"/>
        </w:rPr>
      </w:pPr>
    </w:p>
    <w:p w:rsidR="0008315C" w:rsidRPr="00E61675" w:rsidRDefault="0008315C" w:rsidP="0008315C">
      <w:pPr>
        <w:numPr>
          <w:ilvl w:val="0"/>
          <w:numId w:val="2"/>
        </w:numPr>
        <w:spacing w:after="120" w:line="276" w:lineRule="auto"/>
        <w:rPr>
          <w:color w:val="000000" w:themeColor="text1"/>
          <w:szCs w:val="24"/>
          <w:lang w:val="en-US"/>
        </w:rPr>
      </w:pPr>
      <w:r>
        <w:rPr>
          <w:color w:val="000000" w:themeColor="text1"/>
          <w:szCs w:val="24"/>
          <w:lang w:val="en-US"/>
        </w:rPr>
        <w:t xml:space="preserve">Conference </w:t>
      </w:r>
      <w:r w:rsidRPr="00E61675">
        <w:rPr>
          <w:color w:val="000000" w:themeColor="text1"/>
          <w:szCs w:val="24"/>
          <w:lang w:val="en-US"/>
        </w:rPr>
        <w:t xml:space="preserve">folder </w:t>
      </w:r>
    </w:p>
    <w:p w:rsidR="0008315C" w:rsidRPr="00E61675" w:rsidRDefault="0008315C" w:rsidP="0008315C">
      <w:pPr>
        <w:numPr>
          <w:ilvl w:val="0"/>
          <w:numId w:val="2"/>
        </w:numPr>
        <w:spacing w:after="120" w:line="276" w:lineRule="auto"/>
        <w:rPr>
          <w:color w:val="000000" w:themeColor="text1"/>
          <w:szCs w:val="24"/>
          <w:lang w:val="en-US"/>
        </w:rPr>
      </w:pPr>
      <w:r w:rsidRPr="00E61675">
        <w:rPr>
          <w:color w:val="000000" w:themeColor="text1"/>
          <w:szCs w:val="24"/>
          <w:lang w:val="en-US"/>
        </w:rPr>
        <w:t>Access to social activities organized within the conference</w:t>
      </w:r>
    </w:p>
    <w:p w:rsidR="0008315C" w:rsidRPr="00E61675" w:rsidRDefault="0008315C" w:rsidP="0008315C">
      <w:pPr>
        <w:numPr>
          <w:ilvl w:val="0"/>
          <w:numId w:val="2"/>
        </w:numPr>
        <w:spacing w:after="120" w:line="276" w:lineRule="auto"/>
        <w:rPr>
          <w:color w:val="000000" w:themeColor="text1"/>
          <w:szCs w:val="24"/>
          <w:lang w:val="en-US"/>
        </w:rPr>
      </w:pPr>
      <w:r>
        <w:rPr>
          <w:color w:val="000000" w:themeColor="text1"/>
          <w:szCs w:val="24"/>
          <w:lang w:val="en-US"/>
        </w:rPr>
        <w:t xml:space="preserve">A copy of the </w:t>
      </w:r>
      <w:r w:rsidRPr="00E61675">
        <w:rPr>
          <w:color w:val="000000" w:themeColor="text1"/>
          <w:szCs w:val="24"/>
          <w:lang w:val="en-US"/>
        </w:rPr>
        <w:t xml:space="preserve">conference proceedings. </w:t>
      </w:r>
    </w:p>
    <w:p w:rsidR="0008315C" w:rsidRPr="00E61675" w:rsidRDefault="0008315C" w:rsidP="0008315C">
      <w:pPr>
        <w:jc w:val="both"/>
        <w:rPr>
          <w:color w:val="000000" w:themeColor="text1"/>
          <w:szCs w:val="24"/>
          <w:lang w:val="en-US"/>
        </w:rPr>
      </w:pPr>
      <w:r w:rsidRPr="00E61675">
        <w:rPr>
          <w:color w:val="000000" w:themeColor="text1"/>
          <w:szCs w:val="24"/>
          <w:lang w:val="en-US"/>
        </w:rPr>
        <w:t xml:space="preserve">Bank details for the registration fee will be </w:t>
      </w:r>
      <w:r>
        <w:rPr>
          <w:color w:val="000000" w:themeColor="text1"/>
          <w:szCs w:val="24"/>
          <w:lang w:val="en-US"/>
        </w:rPr>
        <w:t>sent</w:t>
      </w:r>
      <w:r w:rsidRPr="00E61675">
        <w:rPr>
          <w:color w:val="000000" w:themeColor="text1"/>
          <w:szCs w:val="24"/>
          <w:lang w:val="en-US"/>
        </w:rPr>
        <w:t xml:space="preserve"> </w:t>
      </w:r>
      <w:r>
        <w:rPr>
          <w:color w:val="000000" w:themeColor="text1"/>
          <w:szCs w:val="24"/>
          <w:lang w:val="en-US"/>
        </w:rPr>
        <w:t xml:space="preserve">after </w:t>
      </w:r>
      <w:proofErr w:type="gramStart"/>
      <w:r>
        <w:rPr>
          <w:color w:val="000000" w:themeColor="text1"/>
          <w:szCs w:val="24"/>
          <w:lang w:val="en-US"/>
        </w:rPr>
        <w:t>one’s</w:t>
      </w:r>
      <w:r w:rsidRPr="00E61675">
        <w:rPr>
          <w:color w:val="000000" w:themeColor="text1"/>
          <w:szCs w:val="24"/>
          <w:lang w:val="en-US"/>
        </w:rPr>
        <w:t xml:space="preserve"> proposal has been accepted by the Scientific Committee</w:t>
      </w:r>
      <w:proofErr w:type="gramEnd"/>
      <w:r w:rsidRPr="00E61675">
        <w:rPr>
          <w:color w:val="000000" w:themeColor="text1"/>
          <w:szCs w:val="24"/>
          <w:lang w:val="en-US"/>
        </w:rPr>
        <w:t>.</w:t>
      </w:r>
    </w:p>
    <w:p w:rsidR="0008315C" w:rsidRPr="00E61675" w:rsidRDefault="0008315C" w:rsidP="0008315C">
      <w:pPr>
        <w:rPr>
          <w:color w:val="000000" w:themeColor="text1"/>
          <w:szCs w:val="24"/>
          <w:lang w:val="en-US"/>
        </w:rPr>
      </w:pPr>
    </w:p>
    <w:p w:rsidR="0008315C" w:rsidRPr="00E61675" w:rsidRDefault="0008315C" w:rsidP="0008315C">
      <w:pPr>
        <w:rPr>
          <w:color w:val="000000" w:themeColor="text1"/>
          <w:szCs w:val="24"/>
          <w:lang w:val="en-US"/>
        </w:rPr>
      </w:pPr>
      <w:r w:rsidRPr="00E61675">
        <w:rPr>
          <w:color w:val="000000" w:themeColor="text1"/>
          <w:szCs w:val="24"/>
          <w:lang w:val="en-US"/>
        </w:rPr>
        <w:t>CONFERENCE VENUE</w:t>
      </w:r>
    </w:p>
    <w:p w:rsidR="0008315C" w:rsidRPr="00E61675" w:rsidRDefault="0008315C" w:rsidP="0008315C">
      <w:pPr>
        <w:jc w:val="both"/>
        <w:rPr>
          <w:color w:val="000000" w:themeColor="text1"/>
          <w:szCs w:val="24"/>
          <w:lang w:val="en-US"/>
        </w:rPr>
      </w:pPr>
      <w:r w:rsidRPr="00E61675">
        <w:rPr>
          <w:color w:val="000000" w:themeColor="text1"/>
          <w:szCs w:val="24"/>
          <w:lang w:val="en-US"/>
        </w:rPr>
        <w:t>The conference will be held on the premises of the Department of Foreign Languages, Literatures and Cultures (</w:t>
      </w:r>
      <w:proofErr w:type="spellStart"/>
      <w:r w:rsidRPr="00E61675">
        <w:rPr>
          <w:color w:val="000000" w:themeColor="text1"/>
          <w:szCs w:val="24"/>
          <w:lang w:val="en-US"/>
        </w:rPr>
        <w:t>Università</w:t>
      </w:r>
      <w:proofErr w:type="spellEnd"/>
      <w:r w:rsidRPr="00E61675">
        <w:rPr>
          <w:color w:val="000000" w:themeColor="text1"/>
          <w:szCs w:val="24"/>
          <w:lang w:val="en-US"/>
        </w:rPr>
        <w:t xml:space="preserve"> Roma Tre, </w:t>
      </w:r>
      <w:proofErr w:type="gramStart"/>
      <w:r w:rsidRPr="00E61675">
        <w:rPr>
          <w:color w:val="000000" w:themeColor="text1"/>
          <w:szCs w:val="24"/>
          <w:lang w:val="en-US"/>
        </w:rPr>
        <w:t>Via</w:t>
      </w:r>
      <w:proofErr w:type="gramEnd"/>
      <w:r w:rsidRPr="00E61675">
        <w:rPr>
          <w:color w:val="000000" w:themeColor="text1"/>
          <w:szCs w:val="24"/>
          <w:lang w:val="en-US"/>
        </w:rPr>
        <w:t xml:space="preserve"> del </w:t>
      </w:r>
      <w:proofErr w:type="spellStart"/>
      <w:r w:rsidRPr="00E61675">
        <w:rPr>
          <w:color w:val="000000" w:themeColor="text1"/>
          <w:szCs w:val="24"/>
          <w:lang w:val="en-US"/>
        </w:rPr>
        <w:t>Valco</w:t>
      </w:r>
      <w:proofErr w:type="spellEnd"/>
      <w:r w:rsidRPr="00E61675">
        <w:rPr>
          <w:color w:val="000000" w:themeColor="text1"/>
          <w:szCs w:val="24"/>
          <w:lang w:val="en-US"/>
        </w:rPr>
        <w:t xml:space="preserve"> di San Paolo 19), </w:t>
      </w:r>
      <w:r>
        <w:rPr>
          <w:color w:val="000000" w:themeColor="text1"/>
          <w:szCs w:val="24"/>
          <w:lang w:val="en-US"/>
        </w:rPr>
        <w:t>where</w:t>
      </w:r>
      <w:r w:rsidRPr="00E61675">
        <w:rPr>
          <w:color w:val="000000" w:themeColor="text1"/>
          <w:szCs w:val="24"/>
          <w:lang w:val="en-US"/>
        </w:rPr>
        <w:t xml:space="preserve"> CRISA currently </w:t>
      </w:r>
      <w:r>
        <w:rPr>
          <w:color w:val="000000" w:themeColor="text1"/>
          <w:szCs w:val="24"/>
          <w:lang w:val="en-US"/>
        </w:rPr>
        <w:t>resides</w:t>
      </w:r>
      <w:r w:rsidRPr="00E61675">
        <w:rPr>
          <w:color w:val="000000" w:themeColor="text1"/>
          <w:szCs w:val="24"/>
          <w:lang w:val="en-US"/>
        </w:rPr>
        <w:t>.</w:t>
      </w:r>
    </w:p>
    <w:p w:rsidR="0008315C" w:rsidRPr="00E61675" w:rsidRDefault="0008315C" w:rsidP="0008315C">
      <w:pPr>
        <w:jc w:val="both"/>
        <w:rPr>
          <w:color w:val="000000" w:themeColor="text1"/>
          <w:szCs w:val="24"/>
          <w:lang w:val="en-US"/>
        </w:rPr>
      </w:pPr>
    </w:p>
    <w:p w:rsidR="0008315C" w:rsidRPr="00E61675" w:rsidRDefault="0008315C" w:rsidP="0008315C">
      <w:pPr>
        <w:rPr>
          <w:color w:val="000000" w:themeColor="text1"/>
          <w:szCs w:val="24"/>
          <w:lang w:val="en-US"/>
        </w:rPr>
      </w:pPr>
      <w:r>
        <w:rPr>
          <w:color w:val="000000" w:themeColor="text1"/>
          <w:szCs w:val="24"/>
          <w:lang w:val="en-US"/>
        </w:rPr>
        <w:t>PUBLICATION</w:t>
      </w:r>
    </w:p>
    <w:p w:rsidR="0008315C" w:rsidRPr="00E61675" w:rsidRDefault="0008315C" w:rsidP="0008315C">
      <w:pPr>
        <w:jc w:val="both"/>
        <w:rPr>
          <w:color w:val="000000" w:themeColor="text1"/>
          <w:szCs w:val="24"/>
          <w:lang w:val="en-US"/>
        </w:rPr>
      </w:pPr>
      <w:r w:rsidRPr="00E61675">
        <w:rPr>
          <w:color w:val="000000" w:themeColor="text1"/>
          <w:szCs w:val="24"/>
          <w:lang w:val="en-US"/>
        </w:rPr>
        <w:t xml:space="preserve">Final texts for publication should not exceed </w:t>
      </w:r>
      <w:r w:rsidRPr="00E61675">
        <w:rPr>
          <w:bCs/>
          <w:color w:val="000000" w:themeColor="text1"/>
          <w:szCs w:val="24"/>
          <w:lang w:val="en-US"/>
        </w:rPr>
        <w:t xml:space="preserve">40,000 </w:t>
      </w:r>
      <w:r w:rsidRPr="00E61675">
        <w:rPr>
          <w:color w:val="000000" w:themeColor="text1"/>
          <w:szCs w:val="24"/>
          <w:lang w:val="en-US"/>
        </w:rPr>
        <w:t xml:space="preserve">characters, including notes and </w:t>
      </w:r>
      <w:r>
        <w:rPr>
          <w:color w:val="000000" w:themeColor="text1"/>
          <w:szCs w:val="24"/>
          <w:lang w:val="en-US"/>
        </w:rPr>
        <w:t>bibliography</w:t>
      </w:r>
      <w:r w:rsidRPr="00E61675">
        <w:rPr>
          <w:color w:val="000000" w:themeColor="text1"/>
          <w:szCs w:val="24"/>
          <w:lang w:val="en-US"/>
        </w:rPr>
        <w:t>.</w:t>
      </w:r>
    </w:p>
    <w:p w:rsidR="0008315C" w:rsidRPr="00E61675" w:rsidRDefault="0008315C" w:rsidP="0008315C">
      <w:pPr>
        <w:rPr>
          <w:color w:val="000000" w:themeColor="text1"/>
          <w:szCs w:val="24"/>
          <w:lang w:val="en-US"/>
        </w:rPr>
      </w:pPr>
      <w:r w:rsidRPr="00E61675">
        <w:rPr>
          <w:color w:val="000000" w:themeColor="text1"/>
          <w:szCs w:val="24"/>
          <w:lang w:val="en-US"/>
        </w:rPr>
        <w:t xml:space="preserve">The texts </w:t>
      </w:r>
      <w:proofErr w:type="gramStart"/>
      <w:r w:rsidRPr="00E61675">
        <w:rPr>
          <w:color w:val="000000" w:themeColor="text1"/>
          <w:szCs w:val="24"/>
          <w:lang w:val="en-US"/>
        </w:rPr>
        <w:t>will be submitted</w:t>
      </w:r>
      <w:proofErr w:type="gramEnd"/>
      <w:r w:rsidRPr="00E61675">
        <w:rPr>
          <w:color w:val="000000" w:themeColor="text1"/>
          <w:szCs w:val="24"/>
          <w:lang w:val="en-US"/>
        </w:rPr>
        <w:t xml:space="preserve"> to anonymous referees.</w:t>
      </w:r>
    </w:p>
    <w:p w:rsidR="0008315C" w:rsidRPr="00E61675" w:rsidRDefault="0008315C" w:rsidP="0008315C">
      <w:pPr>
        <w:rPr>
          <w:color w:val="000000" w:themeColor="text1"/>
          <w:szCs w:val="24"/>
          <w:lang w:val="en-US"/>
        </w:rPr>
      </w:pPr>
      <w:r w:rsidRPr="00E61675">
        <w:rPr>
          <w:color w:val="000000" w:themeColor="text1"/>
          <w:szCs w:val="24"/>
          <w:lang w:val="en-US"/>
        </w:rPr>
        <w:t xml:space="preserve">It will be the responsibility of the Conference Scientific Committee to send editorial </w:t>
      </w:r>
      <w:r>
        <w:rPr>
          <w:color w:val="000000" w:themeColor="text1"/>
          <w:szCs w:val="24"/>
          <w:lang w:val="en-US"/>
        </w:rPr>
        <w:t>guidelines</w:t>
      </w:r>
      <w:r w:rsidRPr="00E61675">
        <w:rPr>
          <w:color w:val="000000" w:themeColor="text1"/>
          <w:szCs w:val="24"/>
          <w:lang w:val="en-US"/>
        </w:rPr>
        <w:t xml:space="preserve"> to each speaker and inform them of the date of delivery of the </w:t>
      </w:r>
      <w:r>
        <w:rPr>
          <w:color w:val="000000" w:themeColor="text1"/>
          <w:szCs w:val="24"/>
          <w:lang w:val="en-US"/>
        </w:rPr>
        <w:t xml:space="preserve">final </w:t>
      </w:r>
      <w:r w:rsidRPr="00E61675">
        <w:rPr>
          <w:color w:val="000000" w:themeColor="text1"/>
          <w:szCs w:val="24"/>
          <w:lang w:val="en-US"/>
        </w:rPr>
        <w:t>paper.</w:t>
      </w:r>
      <w:bookmarkStart w:id="0" w:name="_GoBack"/>
      <w:bookmarkEnd w:id="0"/>
    </w:p>
    <w:p w:rsidR="0008315C" w:rsidRPr="00E61675" w:rsidRDefault="0008315C" w:rsidP="0008315C">
      <w:pPr>
        <w:jc w:val="both"/>
        <w:rPr>
          <w:szCs w:val="24"/>
          <w:lang w:val="en-US"/>
        </w:rPr>
      </w:pPr>
    </w:p>
    <w:p w:rsidR="0008315C" w:rsidRPr="00DB0043" w:rsidRDefault="0008315C" w:rsidP="0008315C">
      <w:pPr>
        <w:jc w:val="both"/>
        <w:rPr>
          <w:caps/>
          <w:szCs w:val="24"/>
          <w:lang w:val="en-US"/>
        </w:rPr>
      </w:pPr>
      <w:r w:rsidRPr="00DB0043">
        <w:rPr>
          <w:caps/>
          <w:szCs w:val="24"/>
          <w:lang w:val="en-US"/>
        </w:rPr>
        <w:t xml:space="preserve">Scientific and Organizing Committee: </w:t>
      </w:r>
    </w:p>
    <w:p w:rsidR="0008315C" w:rsidRPr="00E61675" w:rsidRDefault="0008315C" w:rsidP="0008315C">
      <w:pPr>
        <w:jc w:val="both"/>
        <w:rPr>
          <w:szCs w:val="24"/>
          <w:lang w:val="en-US"/>
        </w:rPr>
      </w:pPr>
      <w:r w:rsidRPr="00E61675">
        <w:rPr>
          <w:szCs w:val="24"/>
          <w:lang w:val="en-US"/>
        </w:rPr>
        <w:t xml:space="preserve">Guido Baggio, Camilla Cattarulla, </w:t>
      </w:r>
      <w:r>
        <w:rPr>
          <w:szCs w:val="24"/>
          <w:lang w:val="en-US"/>
        </w:rPr>
        <w:t xml:space="preserve">Angela Di Matteo, </w:t>
      </w:r>
      <w:r w:rsidRPr="00E61675">
        <w:rPr>
          <w:szCs w:val="24"/>
          <w:lang w:val="en-US"/>
        </w:rPr>
        <w:t xml:space="preserve">Antonello </w:t>
      </w:r>
      <w:proofErr w:type="spellStart"/>
      <w:r w:rsidRPr="00E61675">
        <w:rPr>
          <w:szCs w:val="24"/>
          <w:lang w:val="en-US"/>
        </w:rPr>
        <w:t>Frongia</w:t>
      </w:r>
      <w:proofErr w:type="spellEnd"/>
      <w:r w:rsidRPr="00E61675">
        <w:rPr>
          <w:szCs w:val="24"/>
          <w:lang w:val="en-US"/>
        </w:rPr>
        <w:t xml:space="preserve">, Luigi </w:t>
      </w:r>
      <w:proofErr w:type="spellStart"/>
      <w:r w:rsidRPr="00E61675">
        <w:rPr>
          <w:szCs w:val="24"/>
          <w:lang w:val="en-US"/>
        </w:rPr>
        <w:t>Guarnieri</w:t>
      </w:r>
      <w:proofErr w:type="spellEnd"/>
      <w:r w:rsidRPr="00E61675">
        <w:rPr>
          <w:szCs w:val="24"/>
          <w:lang w:val="en-US"/>
        </w:rPr>
        <w:t xml:space="preserve"> </w:t>
      </w:r>
      <w:proofErr w:type="spellStart"/>
      <w:r w:rsidRPr="00E61675">
        <w:rPr>
          <w:szCs w:val="24"/>
          <w:lang w:val="en-US"/>
        </w:rPr>
        <w:t>Calò</w:t>
      </w:r>
      <w:proofErr w:type="spellEnd"/>
      <w:r w:rsidRPr="00E61675">
        <w:rPr>
          <w:szCs w:val="24"/>
          <w:lang w:val="en-US"/>
        </w:rPr>
        <w:t xml:space="preserve"> Carducci</w:t>
      </w:r>
      <w:r>
        <w:rPr>
          <w:szCs w:val="24"/>
          <w:lang w:val="en-US"/>
        </w:rPr>
        <w:t xml:space="preserve">, Anthony J. </w:t>
      </w:r>
      <w:proofErr w:type="spellStart"/>
      <w:r>
        <w:rPr>
          <w:szCs w:val="24"/>
          <w:lang w:val="en-US"/>
        </w:rPr>
        <w:t>Tamburri</w:t>
      </w:r>
      <w:proofErr w:type="spellEnd"/>
    </w:p>
    <w:sectPr w:rsidR="0008315C" w:rsidRPr="00E61675" w:rsidSect="00C6523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52A74"/>
    <w:multiLevelType w:val="hybridMultilevel"/>
    <w:tmpl w:val="C6DC73D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2F3B6D"/>
    <w:multiLevelType w:val="hybridMultilevel"/>
    <w:tmpl w:val="E6526B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5C"/>
    <w:rsid w:val="0008315C"/>
    <w:rsid w:val="00B576AB"/>
    <w:rsid w:val="00DB0043"/>
    <w:rsid w:val="00E62B4C"/>
    <w:rsid w:val="00FE2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A787D-60BF-4D7A-ABD2-0891F25F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15C"/>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315C"/>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semiHidden/>
    <w:unhideWhenUsed/>
    <w:rsid w:val="00083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sa@uniroma3.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819</Words>
  <Characters>4670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Cattarulla</dc:creator>
  <cp:keywords/>
  <dc:description/>
  <cp:lastModifiedBy>Camilla Cattarulla</cp:lastModifiedBy>
  <cp:revision>4</cp:revision>
  <dcterms:created xsi:type="dcterms:W3CDTF">2022-11-11T09:24:00Z</dcterms:created>
  <dcterms:modified xsi:type="dcterms:W3CDTF">2022-11-11T09:56:00Z</dcterms:modified>
</cp:coreProperties>
</file>